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E2" w:rsidRPr="00A634A2" w:rsidRDefault="000A22E2" w:rsidP="00A634A2">
      <w:pPr>
        <w:pStyle w:val="NormalWeb"/>
        <w:shd w:val="clear" w:color="auto" w:fill="FFFFFF"/>
        <w:spacing w:before="0" w:after="0"/>
        <w:jc w:val="both"/>
        <w:textAlignment w:val="baseline"/>
        <w:rPr>
          <w:rFonts w:ascii="Arial" w:hAnsi="Arial" w:cs="Arial"/>
          <w:color w:val="444545"/>
          <w:sz w:val="21"/>
          <w:szCs w:val="21"/>
        </w:rPr>
      </w:pPr>
      <w:r w:rsidRPr="00A634A2">
        <w:rPr>
          <w:rFonts w:ascii="Arial" w:hAnsi="Arial" w:cs="Arial"/>
          <w:b/>
          <w:bCs/>
          <w:color w:val="444545"/>
          <w:sz w:val="21"/>
        </w:rPr>
        <w:t>Prezentare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Beneficiile de asistenţă socială reprezintă o formă de suplimentare sau de substituire a veniturilor individuale/familiale obţinute din muncă, în vederea asigurării unui nivel de trai minimal, precum şi o formă de sprijin în scopul promovării incluziunii sociale şi creşterii calităţii vieţii anumitor categorii de persoane ale căror drepturi sociale sunt prevăzute expres de lege.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Principalele tipuri de beneficii de asistență socială sunt:</w:t>
      </w:r>
    </w:p>
    <w:p w:rsidR="000A22E2" w:rsidRPr="00A634A2" w:rsidRDefault="000A22E2" w:rsidP="00A634A2">
      <w:pPr>
        <w:numPr>
          <w:ilvl w:val="0"/>
          <w:numId w:val="1"/>
        </w:numPr>
        <w:shd w:val="clear" w:color="auto" w:fill="FFFFFF"/>
        <w:spacing w:after="0" w:line="240" w:lineRule="auto"/>
        <w:ind w:left="300"/>
        <w:textAlignment w:val="baseline"/>
        <w:rPr>
          <w:rFonts w:ascii="Arial" w:hAnsi="Arial" w:cs="Arial"/>
          <w:b/>
          <w:bCs/>
          <w:color w:val="444545"/>
          <w:sz w:val="21"/>
          <w:szCs w:val="21"/>
        </w:rPr>
      </w:pPr>
      <w:r w:rsidRPr="00A634A2">
        <w:rPr>
          <w:rFonts w:ascii="Arial" w:hAnsi="Arial" w:cs="Arial"/>
          <w:b/>
          <w:bCs/>
          <w:color w:val="444545"/>
          <w:sz w:val="21"/>
        </w:rPr>
        <w:t>Beneficiile de asistenţă socială pentru prevenirea şi combaterea sărăciei şi riscului de excluziune socială:</w:t>
      </w:r>
    </w:p>
    <w:p w:rsidR="000A22E2" w:rsidRPr="00A634A2" w:rsidRDefault="000A22E2" w:rsidP="00A634A2">
      <w:pPr>
        <w:numPr>
          <w:ilvl w:val="0"/>
          <w:numId w:val="2"/>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Ajutorul social;</w:t>
      </w:r>
    </w:p>
    <w:p w:rsidR="000A22E2" w:rsidRPr="00A634A2" w:rsidRDefault="000A22E2" w:rsidP="00A634A2">
      <w:pPr>
        <w:numPr>
          <w:ilvl w:val="0"/>
          <w:numId w:val="2"/>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Ajutorul  pentru încălzirea locuinței;</w:t>
      </w:r>
    </w:p>
    <w:p w:rsidR="000A22E2" w:rsidRPr="00A634A2" w:rsidRDefault="000A22E2" w:rsidP="00A634A2">
      <w:pPr>
        <w:numPr>
          <w:ilvl w:val="0"/>
          <w:numId w:val="2"/>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Alocaţia pentru susţinerea familiei;</w:t>
      </w:r>
    </w:p>
    <w:p w:rsidR="000A22E2" w:rsidRPr="00A634A2" w:rsidRDefault="000A22E2" w:rsidP="00A634A2">
      <w:pPr>
        <w:numPr>
          <w:ilvl w:val="0"/>
          <w:numId w:val="2"/>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Ajutoare de urgenţă susţinute din bugetul de stat.</w:t>
      </w:r>
    </w:p>
    <w:p w:rsidR="000A22E2" w:rsidRPr="00A634A2" w:rsidRDefault="000A22E2" w:rsidP="00A634A2">
      <w:pPr>
        <w:numPr>
          <w:ilvl w:val="0"/>
          <w:numId w:val="3"/>
        </w:numPr>
        <w:shd w:val="clear" w:color="auto" w:fill="FFFFFF"/>
        <w:spacing w:after="0" w:line="240" w:lineRule="auto"/>
        <w:ind w:left="300"/>
        <w:textAlignment w:val="baseline"/>
        <w:rPr>
          <w:rFonts w:ascii="Arial" w:hAnsi="Arial" w:cs="Arial"/>
          <w:b/>
          <w:bCs/>
          <w:color w:val="444545"/>
          <w:sz w:val="21"/>
          <w:szCs w:val="21"/>
        </w:rPr>
      </w:pPr>
      <w:r w:rsidRPr="00A634A2">
        <w:rPr>
          <w:rFonts w:ascii="Arial" w:hAnsi="Arial" w:cs="Arial"/>
          <w:b/>
          <w:bCs/>
          <w:color w:val="444545"/>
          <w:sz w:val="21"/>
        </w:rPr>
        <w:t>Beneficiile pentru susţinerea copilului şi a familiei au în vedere naşterea, educaţia şi întreţinerea copiilor:</w:t>
      </w:r>
    </w:p>
    <w:p w:rsidR="000A22E2" w:rsidRPr="00A634A2" w:rsidRDefault="000A22E2" w:rsidP="00A634A2">
      <w:pPr>
        <w:numPr>
          <w:ilvl w:val="0"/>
          <w:numId w:val="4"/>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Alocaţia de stat pentru copii;</w:t>
      </w:r>
    </w:p>
    <w:p w:rsidR="000A22E2" w:rsidRPr="00A634A2" w:rsidRDefault="000A22E2" w:rsidP="00A634A2">
      <w:pPr>
        <w:numPr>
          <w:ilvl w:val="0"/>
          <w:numId w:val="4"/>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Alocaţia de plasament;</w:t>
      </w:r>
    </w:p>
    <w:p w:rsidR="000A22E2" w:rsidRPr="00A634A2" w:rsidRDefault="000A22E2" w:rsidP="00A634A2">
      <w:pPr>
        <w:numPr>
          <w:ilvl w:val="0"/>
          <w:numId w:val="4"/>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Indemnizaţia pentru creşterea copilului;</w:t>
      </w:r>
    </w:p>
    <w:p w:rsidR="000A22E2" w:rsidRPr="00A634A2" w:rsidRDefault="000A22E2" w:rsidP="00A634A2">
      <w:pPr>
        <w:numPr>
          <w:ilvl w:val="0"/>
          <w:numId w:val="4"/>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Stimulentul de inserţie;</w:t>
      </w:r>
    </w:p>
    <w:p w:rsidR="000A22E2" w:rsidRPr="00A634A2" w:rsidRDefault="000A22E2" w:rsidP="00A634A2">
      <w:pPr>
        <w:numPr>
          <w:ilvl w:val="0"/>
          <w:numId w:val="4"/>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Indemnizația lunară aferentă concediului de acomodare.</w:t>
      </w:r>
    </w:p>
    <w:p w:rsidR="000A22E2" w:rsidRPr="00A634A2" w:rsidRDefault="000A22E2" w:rsidP="00A634A2">
      <w:pPr>
        <w:numPr>
          <w:ilvl w:val="0"/>
          <w:numId w:val="5"/>
        </w:numPr>
        <w:shd w:val="clear" w:color="auto" w:fill="FFFFFF"/>
        <w:spacing w:after="0" w:line="240" w:lineRule="auto"/>
        <w:ind w:left="300"/>
        <w:textAlignment w:val="baseline"/>
        <w:rPr>
          <w:rFonts w:ascii="Arial" w:hAnsi="Arial" w:cs="Arial"/>
          <w:b/>
          <w:bCs/>
          <w:color w:val="444545"/>
          <w:sz w:val="21"/>
          <w:szCs w:val="21"/>
        </w:rPr>
      </w:pPr>
      <w:r w:rsidRPr="00A634A2">
        <w:rPr>
          <w:rFonts w:ascii="Arial" w:hAnsi="Arial" w:cs="Arial"/>
          <w:b/>
          <w:bCs/>
          <w:color w:val="444545"/>
          <w:sz w:val="21"/>
        </w:rPr>
        <w:t>Beneficiile de asistenţă socială pentru sprijinirea persoanelor cu nevoi speciale:</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Drepturi acordate persoanelor cu handicap în conformitate cu Legea nr. 448/2006;</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Bugetele personale complementare acordate lunar persoanelor cu handicap;</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Indemnizaţia lunară de hrană HIV/SIDA;</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Indemnizaţia lunară acordată persoanelor cu handicap grav şi accentuat;</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Indemnizaţia lunară de însoţitor pentru persoanele cu handicap vizual;</w:t>
      </w:r>
    </w:p>
    <w:p w:rsidR="000A22E2" w:rsidRPr="00A634A2" w:rsidRDefault="000A22E2" w:rsidP="00A634A2">
      <w:pPr>
        <w:numPr>
          <w:ilvl w:val="0"/>
          <w:numId w:val="6"/>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Alocaţia lunară de hrană pentru copiii cu handicap de tip HIV/SIDA.</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Beneficiile de asistenţă socială, în funcţie de condiţiile de eligibilitate, se clasifică astfel:</w:t>
      </w:r>
    </w:p>
    <w:p w:rsidR="000A22E2" w:rsidRPr="00A634A2" w:rsidRDefault="000A22E2" w:rsidP="00A634A2">
      <w:pPr>
        <w:numPr>
          <w:ilvl w:val="0"/>
          <w:numId w:val="7"/>
        </w:numPr>
        <w:shd w:val="clear" w:color="auto" w:fill="FFFFFF"/>
        <w:spacing w:after="0" w:line="240" w:lineRule="auto"/>
        <w:ind w:left="300"/>
        <w:textAlignment w:val="baseline"/>
        <w:rPr>
          <w:rFonts w:ascii="Arial" w:hAnsi="Arial" w:cs="Arial"/>
          <w:b/>
          <w:bCs/>
          <w:color w:val="444545"/>
          <w:sz w:val="21"/>
          <w:szCs w:val="21"/>
        </w:rPr>
      </w:pPr>
      <w:r w:rsidRPr="00A634A2">
        <w:rPr>
          <w:rFonts w:ascii="Arial" w:hAnsi="Arial" w:cs="Arial"/>
          <w:b/>
          <w:bCs/>
          <w:color w:val="444545"/>
          <w:sz w:val="21"/>
          <w:szCs w:val="21"/>
        </w:rPr>
        <w:t>a) beneficii de asistenţă socială selective, bazate pe testarea mijloacelor de trai ale persoanei singure sau familiei;</w:t>
      </w:r>
      <w:r w:rsidRPr="00A634A2">
        <w:rPr>
          <w:rFonts w:ascii="Arial" w:hAnsi="Arial" w:cs="Arial"/>
          <w:b/>
          <w:bCs/>
          <w:color w:val="444545"/>
          <w:sz w:val="21"/>
          <w:szCs w:val="21"/>
        </w:rPr>
        <w:br/>
        <w:t>b) beneficii de asistenţă socială universale, acordate fără testarea mijloacelor de trai ale persoanei singure sau familiei;</w:t>
      </w:r>
      <w:r w:rsidRPr="00A634A2">
        <w:rPr>
          <w:rFonts w:ascii="Arial" w:hAnsi="Arial" w:cs="Arial"/>
          <w:b/>
          <w:bCs/>
          <w:color w:val="444545"/>
          <w:sz w:val="21"/>
          <w:szCs w:val="21"/>
        </w:rPr>
        <w:br/>
        <w:t>c) beneficii de asistenţă socială categoriale, acordate pentru anumite categorii de beneficiari, cu sau fără testarea mijloacelor de trai ale persoanei singure ori familiei.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 funcție de opțiunea solicitantului, beneficiile de asistență socială se plătesc prin următoarele modalități:</w:t>
      </w:r>
    </w:p>
    <w:p w:rsidR="000A22E2" w:rsidRPr="00A634A2" w:rsidRDefault="000A22E2" w:rsidP="00A634A2">
      <w:pPr>
        <w:numPr>
          <w:ilvl w:val="0"/>
          <w:numId w:val="8"/>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Mandat poştal;</w:t>
      </w:r>
    </w:p>
    <w:p w:rsidR="000A22E2" w:rsidRPr="00A634A2" w:rsidRDefault="000A22E2" w:rsidP="00A634A2">
      <w:pPr>
        <w:numPr>
          <w:ilvl w:val="0"/>
          <w:numId w:val="8"/>
        </w:numPr>
        <w:shd w:val="clear" w:color="auto" w:fill="FFFFFF"/>
        <w:spacing w:after="0" w:line="240" w:lineRule="auto"/>
        <w:ind w:left="300"/>
        <w:textAlignment w:val="baseline"/>
        <w:rPr>
          <w:rFonts w:ascii="Arial" w:hAnsi="Arial" w:cs="Arial"/>
          <w:color w:val="444545"/>
          <w:sz w:val="21"/>
          <w:szCs w:val="21"/>
        </w:rPr>
      </w:pPr>
      <w:r w:rsidRPr="00A634A2">
        <w:rPr>
          <w:rFonts w:ascii="Arial" w:hAnsi="Arial" w:cs="Arial"/>
          <w:color w:val="444545"/>
          <w:sz w:val="21"/>
          <w:szCs w:val="21"/>
        </w:rPr>
        <w:t>Cont bancar deschis la una  din unităţile bancare care are incheiate  convenţii cu Agenţia pentru Plăţi şi Inspecţie Socială a Municipiului Bucureşti.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rPr>
        <w:t>Cum se obțin beneficiile de asistență socială</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rPr>
        <w:t>Modalitate de obținere beneficii de asistență socială</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Cererile şi declaraţiile pe propria răspundere precum și actele necesare pentru  acordarea următoarelor beneficii sociale : alocaţia de stat pentru copii, indemnizaţia pentru creşterea copilului – stimulentul lunar de inserție, venitul minim garantat (VMG), alocaţia pentru susţinerea familiei, ajutorul pentru încălzirea locuinţei se depun la </w:t>
      </w:r>
      <w:r w:rsidRPr="00A634A2">
        <w:rPr>
          <w:rFonts w:ascii="Arial" w:hAnsi="Arial" w:cs="Arial"/>
          <w:b/>
          <w:bCs/>
          <w:color w:val="444545"/>
          <w:sz w:val="21"/>
          <w:u w:val="single"/>
        </w:rPr>
        <w:t>primăriile </w:t>
      </w:r>
      <w:r w:rsidRPr="00A634A2">
        <w:rPr>
          <w:rFonts w:ascii="Arial" w:hAnsi="Arial" w:cs="Arial"/>
          <w:b/>
          <w:bCs/>
          <w:color w:val="444545"/>
          <w:sz w:val="21"/>
        </w:rPr>
        <w:t> </w:t>
      </w:r>
      <w:r w:rsidRPr="00A634A2">
        <w:rPr>
          <w:rFonts w:ascii="Arial" w:hAnsi="Arial" w:cs="Arial"/>
          <w:color w:val="444545"/>
          <w:sz w:val="21"/>
          <w:szCs w:val="21"/>
        </w:rPr>
        <w:t>sectoarelor municipiului Bucureşti în a căror rază teritorială se află locuinţa de domiciliu sau de reşedinţă.</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i/>
          <w:iCs/>
          <w:color w:val="444545"/>
          <w:sz w:val="21"/>
        </w:rPr>
        <w:t>Guvernul, la propunerea Ministerului Muncii şi Justiţiei Sociale, poate acorda ajutoare de urgenţă familiilor şi persoanelor care se află în situaţii de necesitate datorate calamităţilor naturale, incendiilor, accidentelor, precum şi pentru alte situaţii deosebite datorate stării de sănătate ori altor cauze care pot conduce la riscul de excluziune socială, precum şi în alte situaţii stabilite prin hotărâre a Guvernului, care va cuprinde şi procedura şi/sau condiţiile de acordare.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Cererea pentru acordarea ajutorului de urgență se depune la Agenţia pentru Plăţi şi Inspecţie Socială, a Municipiului Bucureşti.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u w:val="single"/>
        </w:rPr>
        <w:t>Alocaţia de stat pentru copii, acordată în baza Legii nr. 61/1993</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Acte necesare dosar (în copie):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 completată şi semnată de reprezentantul legal al copilului;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originalul şi copia certificatului de naştere al copilului;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actul de identitate al reprezentantului legal;</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documentele din care să rezulte situaţia juridică a copilului faţă de reprezentantul legal şi orice alte documente justificative, după caz;</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dacă solicitantul optează pentru primirea alocației de stat în cont personal se solicită extras de cont, contul IBAN de la bancă.</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u w:val="single"/>
        </w:rPr>
        <w:t>Indemnizaţia pentru creşterea copilului – stimulentul lunar de inserție, acordată în baza OUG nr.111/2010</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Acte necesare dosar (în copie):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 tip</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actele de identitate ale solicitanţiilor;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 de naştere copil;</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după caz, certificatul de căsătorie sau livretul de familie;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certificatul de încadrare într-un grad de handicap copil, dacă e cazul;</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cererea aprobată de conducerea unităţii în vederea intrării în concediu pentru creşterea copilului;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dovada eliberată de angajator sau organele competente privind veniturile realizate;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dispoziţia de suspendare a contractului individual de muncă pentru perioada de 1 an, 2 ani sau 3 ani în cazul copilului cu handicap;</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în situaţia persoanelor care realizează concomitent venituri supuse impozitului din mai multe surse, concediul şi indemnizaţia pentru creşterea copilului se acordă pe baza documentelor doveditoare privind suspendarea a cel puţin uneia dintre activităţi;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fişa fiscală aparţinând solicitantului (dacă e cazul);</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dacă solicitantul optează pentru primirea indemnizaţiei sau stimulentului în cont personal se solicită extras de cont, contul IBAN de la bancă.</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Dacă o persoană se află în plată cu indemnizaţie pentru creştere copil şi a născut un alt copil, pentru prelungirea concediului se întocmeşte dosar nou.</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Dacă persoana aflată în concediul pentru creşterea copilului optează pentru plata stimulentului se întocmeşte dosar nou şi se depune cerere în vederea acordării stimulentului.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Începând cu data de 1 martie 2012 cel puţin o lună din perioada totală a concediului de creştere a copilului este alocată uneia dintre persoanele </w:t>
      </w:r>
      <w:r w:rsidRPr="00A634A2">
        <w:rPr>
          <w:rFonts w:ascii="Arial" w:hAnsi="Arial" w:cs="Arial"/>
          <w:color w:val="444545"/>
          <w:sz w:val="21"/>
          <w:szCs w:val="21"/>
          <w:u w:val="single"/>
        </w:rPr>
        <w:t>care nu a solicitat acest drept.</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Prin urmare, indiferent de situație, părintele care se află în concediu pentru creșterea copilului sau în stimulent de inserție, cu excepția cazurilor pentru care aplicabilitatea art. 11 din OUG nr.111/2010 nu este obligatorie, va pierde o lună de drept, indiferent dacă acesta este de indemnizație sau stimulent, dacă celălalt părinte nu accesează propriul drept la concediu.</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rPr>
        <w:t>Noua reglementare se aplică pentru copiii nascuți după 1 martie 2012 aceasta fiind </w:t>
      </w:r>
      <w:r w:rsidRPr="00A634A2">
        <w:rPr>
          <w:rFonts w:ascii="Arial" w:hAnsi="Arial" w:cs="Arial"/>
          <w:color w:val="444545"/>
          <w:sz w:val="21"/>
          <w:szCs w:val="21"/>
        </w:rPr>
        <w:t>impusă în virtutea principiului că responsabilitatea îngrijirii copilului revine ambilor părinți.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u w:val="single"/>
        </w:rPr>
        <w:t>Ajutorul social, acordat în baza Legii nr. 416/2001</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Ajutorul social se acordă pe bază de cerere şi declaraţie pe propria răspundere, însoţite de actele doveditoare privind componenţa familiei şi veniturile realizate în luna anterioară depunerii cererii de către membrii acesteia</w:t>
      </w:r>
      <w:r w:rsidRPr="00A634A2">
        <w:rPr>
          <w:rFonts w:ascii="Arial" w:hAnsi="Arial" w:cs="Arial"/>
          <w:b/>
          <w:bCs/>
          <w:color w:val="444545"/>
          <w:sz w:val="21"/>
        </w:rPr>
        <w:t>.</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Acte necesare dosar (în copie):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 şi declaraţia pe propria răspundere;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actele de identitate ale solicitanţiilor;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certificatele de naştere ale copiilor;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certificatul de căsătorie sau livretul de familie;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hotărârea definitivă de încuviinţare a adopţiei, de plasament familial al minorului, potrivit legii;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actul din care să rezulte calitatea solicitantului de tutore sau curator;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 din care să rezulte ca un membru al familiei frecventează o formă de învăţământ ;</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 din care să reiasă încadrarea în categoria persoanelor cu handicap accentuat sau grav ori gradul I sau II de invaliditate, pentru persoanele aflate în întreţinere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i/>
          <w:iCs/>
          <w:color w:val="444545"/>
          <w:sz w:val="21"/>
        </w:rPr>
        <w:t>– adeverinţă care să ateste că sunt înregistrați în evidenţa agenţiei pentru ocuparea forţei de muncă a municipiului Bucureşti, pentru încadrare în muncă şi că nu au refuzat un loc de muncă sau participarea la serviciile pentru stimularea ocupării forţei de muncă şi de formare profesională oferite de această agenţie.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-venituri nete realizate (luna anterioară depunerii cererii) şi actele doveditoare sunt cele menţionate în formularul de cerere (adeverinţe privind salariul net, cupoane de pensie, ajutor de şomaj, cupon alocaţie de stat etc);</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 cazul uniunii consensuale (concubinaj), considerată familie beneficiară vor fi prezentate si documente referitoare la componenţa familiei şi venituri pentru partenerul solicitantului.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u w:val="single"/>
        </w:rPr>
        <w:t>Alocaţia pentru susţinerea familiei, acordată în baza Legii nr. 277/2010</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Alocaţia se acordă pe bază de cerere şi declaraţie pe propria răspundere însoţită de actele doveditoare privind componenţa familiei, veniturile acesteia şi, după caz, privind frecventarea cursurilor şcolare de către copiii aflaţi în întreţinere.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Acte necesare dosar (în copie):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 şi declaraţia pe propria răspundere;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actele de identitate ale solicitanţiilor;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certificatele de naştere ale copiilor , cărţile de identitate ale acestora (după caz);</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certificatul de căsătorie sau livretul de familie;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hotărârea definitivă de încuviinţare a adopţiei, de plasament familial al minorului, potrivit legii;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actul din care să rezulte calitatea solicitantului de tutore sau curator;</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 din care să rezulte ca un membru al familiei frecventează o formă de învăţământ (adeverinţa de elev pentru toţi copiii de vârstă şcolară din familie; fac excepţie copiii de vârstă şcolară cu handicap grav sau accentuat pentru care se aduce dovadă eliberată de autorităţile competente care să ateste faptul că respectivul copil nu poate fi înscris în nici o formă de învăţământ, prevăzută de lege);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acte din care să reiasă încadrarea în categoria persoanelor cu handicap accentuat sau grav ori gradul I sau II de invaliditate, pentru persoanele aflate în întreţinere ;</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venituri nete realizate (luna anterioară depunerii cererii) şi actele doveditoare sunt cele menţionate în formularul de cerere (adeverinţe privind salariul net, cupoane de pensie, ajutor de şomaj, cupon alocaţie de stat etc);</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 cazul uniunii consensuale (concubinaj), considerată familie beneficiară vor fi prezentate si documente referitoare la componenţa familiei şi venituri pentru partenerul solicitantului.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Pr="00A634A2" w:rsidRDefault="000A22E2" w:rsidP="00A634A2">
      <w:pPr>
        <w:shd w:val="clear" w:color="auto" w:fill="FFFFFF"/>
        <w:spacing w:beforeAutospacing="1" w:after="0" w:afterAutospacing="1" w:line="240" w:lineRule="auto"/>
        <w:jc w:val="both"/>
        <w:textAlignment w:val="baseline"/>
        <w:rPr>
          <w:rFonts w:ascii="Arial" w:hAnsi="Arial" w:cs="Arial"/>
          <w:color w:val="444545"/>
          <w:sz w:val="21"/>
          <w:szCs w:val="21"/>
        </w:rPr>
      </w:pPr>
      <w:r w:rsidRPr="00A634A2">
        <w:rPr>
          <w:rFonts w:ascii="Arial" w:hAnsi="Arial" w:cs="Arial"/>
          <w:b/>
          <w:bCs/>
          <w:color w:val="444545"/>
          <w:sz w:val="21"/>
          <w:u w:val="single"/>
        </w:rPr>
        <w:t>Ajutorul pentru încălzirea locuinţei, acordat în baza OUG nr. 70/2011</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Ajutorul pentru încălzirea locuinţei se acordă pe bază de cerere şi declaraţie pe propria răspundere privind componenţa familiei şi veniturile acesteia.</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 vederea stabilirii dreptului, primarii solicită acte doveditoare care atestă componenţa familiei şi veniturile realizate de membrii acesteia, precum şi acte doveditoare privind locuinţa sau bunurile deţinute de aceştia, inclusiv în alte unităţi administrativ-teritoriale.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Ajutoarele pentru încălzirea locuinței se acordă în funcţie de veniturile nete medii lunare pe membru de familie, respectiv ale persoanei singure, în limitele, procentele şi cuantumurile stabilite în ordonanţa de urgenţă.</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La stabilirea venitului net mediu lunar pe membru de familie şi, după caz, al persoanei singure se iau în calcul toate veniturile realizate de membrii acesteia în luna anterioară lunii în care se solicită dreptul. În situaţia în care veniturile realizate de membrii familiei sau de persoana singură sunt anuale sau periodice, pentru stabilirea venitului net lunar se calculează media lunară a acestora în raport cu perioada pentru care au fost acordate.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În cererea şi declaraţia pe propria răspundere solicitantul ajutorului pentru încălzirea locuinței are obligaţia de a menţiona 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cererile şi declaraţiile pe propria răspundere se depun la primăria comunei, oraşului, municipiului sau, după caz, a sectorului municipiului Bucureşti în a cărei rază teritorială se află locuinţa de domiciliu sau de reşedinţă;</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cerere şi declaraţia pe propria răspundere;</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venituri nete realizate (luna anterioară depunerii cererii) şi actele doveditoare sunt cele menţionate în formularul de cerere (adeverinţe privind salariul net, cupoane de pensie, ajutor de şomaj, cupon alocaţie de stat etc).</w:t>
      </w:r>
    </w:p>
    <w:p w:rsidR="000A22E2" w:rsidRPr="00A634A2" w:rsidRDefault="000A22E2" w:rsidP="00A634A2">
      <w:pPr>
        <w:shd w:val="clear" w:color="auto" w:fill="FFFFFF"/>
        <w:spacing w:before="100" w:beforeAutospacing="1" w:after="100" w:afterAutospacing="1" w:line="240" w:lineRule="auto"/>
        <w:jc w:val="both"/>
        <w:textAlignment w:val="baseline"/>
        <w:rPr>
          <w:rFonts w:ascii="Arial" w:hAnsi="Arial" w:cs="Arial"/>
          <w:color w:val="444545"/>
          <w:sz w:val="21"/>
          <w:szCs w:val="21"/>
        </w:rPr>
      </w:pPr>
      <w:r w:rsidRPr="00A634A2">
        <w:rPr>
          <w:rFonts w:ascii="Arial" w:hAnsi="Arial" w:cs="Arial"/>
          <w:color w:val="444545"/>
          <w:sz w:val="21"/>
          <w:szCs w:val="21"/>
        </w:rPr>
        <w:t> </w:t>
      </w:r>
    </w:p>
    <w:p w:rsidR="000A22E2" w:rsidRDefault="000A22E2" w:rsidP="00224405">
      <w:pPr>
        <w:spacing w:line="360" w:lineRule="auto"/>
        <w:jc w:val="right"/>
        <w:rPr>
          <w:b/>
        </w:rPr>
      </w:pPr>
      <w:r w:rsidRPr="00A634A2">
        <w:rPr>
          <w:rFonts w:ascii="Arial" w:hAnsi="Arial" w:cs="Arial"/>
          <w:color w:val="444545"/>
          <w:sz w:val="21"/>
          <w:szCs w:val="21"/>
        </w:rPr>
        <w:t> </w:t>
      </w:r>
      <w:r>
        <w:rPr>
          <w:b/>
        </w:rPr>
        <w:t>Anexa nr.3</w:t>
      </w:r>
    </w:p>
    <w:p w:rsidR="000A22E2" w:rsidRDefault="000A22E2" w:rsidP="00224405">
      <w:pPr>
        <w:spacing w:line="360" w:lineRule="auto"/>
        <w:jc w:val="right"/>
        <w:rPr>
          <w:b/>
        </w:rPr>
      </w:pPr>
      <w:r>
        <w:rPr>
          <w:b/>
        </w:rPr>
        <w:t xml:space="preserve">Anexa nr.4 </w:t>
      </w:r>
    </w:p>
    <w:p w:rsidR="000A22E2" w:rsidRDefault="000A22E2" w:rsidP="00224405">
      <w:pPr>
        <w:spacing w:line="360" w:lineRule="auto"/>
        <w:jc w:val="right"/>
        <w:rPr>
          <w:b/>
        </w:rPr>
      </w:pPr>
      <w:r>
        <w:rPr>
          <w:b/>
        </w:rPr>
        <w:t>la Normele metodologice</w:t>
      </w:r>
    </w:p>
    <w:p w:rsidR="000A22E2" w:rsidRDefault="000A22E2" w:rsidP="00224405">
      <w:pPr>
        <w:spacing w:line="360" w:lineRule="auto"/>
        <w:jc w:val="center"/>
        <w:rPr>
          <w:b/>
        </w:rPr>
      </w:pPr>
      <w:r w:rsidRPr="000D56B6">
        <w:rPr>
          <w:b/>
        </w:rPr>
        <w:t xml:space="preserve">LISTA BUNURILOR CE </w:t>
      </w:r>
      <w:r>
        <w:rPr>
          <w:b/>
        </w:rPr>
        <w:t>CONDUC</w:t>
      </w:r>
      <w:r w:rsidRPr="000D56B6">
        <w:rPr>
          <w:b/>
        </w:rPr>
        <w:t xml:space="preserve"> LA EXCLUDEREA ACORDĂRII </w:t>
      </w:r>
    </w:p>
    <w:p w:rsidR="000A22E2" w:rsidRPr="000D56B6" w:rsidRDefault="000A22E2" w:rsidP="00224405">
      <w:pPr>
        <w:spacing w:line="360" w:lineRule="auto"/>
        <w:jc w:val="center"/>
        <w:rPr>
          <w:b/>
        </w:rPr>
      </w:pPr>
      <w:r>
        <w:rPr>
          <w:b/>
        </w:rPr>
        <w:t>AJUTORULUI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A22E2" w:rsidRPr="0036361A" w:rsidTr="00CD4504">
        <w:tc>
          <w:tcPr>
            <w:tcW w:w="9288" w:type="dxa"/>
            <w:gridSpan w:val="2"/>
            <w:vAlign w:val="center"/>
          </w:tcPr>
          <w:p w:rsidR="000A22E2" w:rsidRPr="0036361A" w:rsidRDefault="000A22E2" w:rsidP="00CD4504">
            <w:pPr>
              <w:rPr>
                <w:b/>
                <w:bCs/>
              </w:rPr>
            </w:pPr>
            <w:r w:rsidRPr="0036361A">
              <w:rPr>
                <w:b/>
                <w:bCs/>
              </w:rPr>
              <w:t>Bunuri imobile</w:t>
            </w:r>
          </w:p>
        </w:tc>
      </w:tr>
      <w:tr w:rsidR="000A22E2" w:rsidRPr="0036361A" w:rsidTr="00CD4504">
        <w:tc>
          <w:tcPr>
            <w:tcW w:w="648" w:type="dxa"/>
            <w:vAlign w:val="center"/>
          </w:tcPr>
          <w:p w:rsidR="000A22E2" w:rsidRPr="0036361A" w:rsidRDefault="000A22E2" w:rsidP="00CD4504">
            <w:pPr>
              <w:jc w:val="center"/>
              <w:rPr>
                <w:b/>
                <w:bCs/>
              </w:rPr>
            </w:pPr>
            <w:r w:rsidRPr="0036361A">
              <w:rPr>
                <w:b/>
                <w:bCs/>
              </w:rPr>
              <w:t>1</w:t>
            </w:r>
          </w:p>
        </w:tc>
        <w:tc>
          <w:tcPr>
            <w:tcW w:w="8640" w:type="dxa"/>
            <w:vAlign w:val="center"/>
          </w:tcPr>
          <w:p w:rsidR="000A22E2" w:rsidRPr="0036361A" w:rsidRDefault="000A22E2" w:rsidP="00CD4504">
            <w:pPr>
              <w:jc w:val="both"/>
              <w:rPr>
                <w:b/>
                <w:bCs/>
              </w:rPr>
            </w:pPr>
            <w:r w:rsidRPr="0036361A">
              <w:rPr>
                <w:b/>
                <w:bCs/>
              </w:rPr>
              <w:t>Clădiri sau alte spaţii locative în afara locuinţei de domiciliu şi a anexelor gospodăreşti</w:t>
            </w:r>
          </w:p>
        </w:tc>
      </w:tr>
      <w:tr w:rsidR="000A22E2" w:rsidRPr="0036361A" w:rsidTr="00CD4504">
        <w:tc>
          <w:tcPr>
            <w:tcW w:w="648" w:type="dxa"/>
            <w:vAlign w:val="center"/>
          </w:tcPr>
          <w:p w:rsidR="000A22E2" w:rsidRPr="0036361A" w:rsidRDefault="000A22E2" w:rsidP="00CD4504">
            <w:pPr>
              <w:jc w:val="center"/>
              <w:rPr>
                <w:b/>
                <w:bCs/>
              </w:rPr>
            </w:pPr>
            <w:r w:rsidRPr="0036361A">
              <w:rPr>
                <w:b/>
                <w:bCs/>
              </w:rPr>
              <w:t>2</w:t>
            </w:r>
          </w:p>
        </w:tc>
        <w:tc>
          <w:tcPr>
            <w:tcW w:w="8640" w:type="dxa"/>
            <w:vAlign w:val="center"/>
          </w:tcPr>
          <w:p w:rsidR="000A22E2" w:rsidRPr="0036361A" w:rsidRDefault="000A22E2" w:rsidP="00CD4504">
            <w:pPr>
              <w:jc w:val="both"/>
              <w:rPr>
                <w:b/>
                <w:bCs/>
              </w:rPr>
            </w:pPr>
            <w:r w:rsidRPr="0036361A">
              <w:rPr>
                <w:b/>
              </w:rPr>
              <w:t xml:space="preserve">Terenuri de împrejmuire a locuinţei şi curtea aferentă și alte terenuri intravilane care depăşesc 1.000 mp în zona urbană şi 2.000 mp în zona rurală             </w:t>
            </w:r>
          </w:p>
        </w:tc>
      </w:tr>
    </w:tbl>
    <w:p w:rsidR="000A22E2" w:rsidRPr="000D56B6" w:rsidRDefault="000A22E2" w:rsidP="0022440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A22E2" w:rsidRPr="0036361A" w:rsidTr="00CD4504">
        <w:tc>
          <w:tcPr>
            <w:tcW w:w="9288" w:type="dxa"/>
            <w:gridSpan w:val="2"/>
            <w:vAlign w:val="center"/>
          </w:tcPr>
          <w:p w:rsidR="000A22E2" w:rsidRPr="0036361A" w:rsidRDefault="000A22E2" w:rsidP="00CD4504">
            <w:pPr>
              <w:rPr>
                <w:b/>
                <w:bCs/>
                <w:vertAlign w:val="superscript"/>
              </w:rPr>
            </w:pPr>
            <w:r w:rsidRPr="0036361A">
              <w:rPr>
                <w:b/>
                <w:bCs/>
              </w:rPr>
              <w:t>Bunuri mobile</w:t>
            </w:r>
            <w:r w:rsidRPr="0036361A">
              <w:rPr>
                <w:b/>
                <w:bCs/>
                <w:vertAlign w:val="superscript"/>
              </w:rPr>
              <w:t>*</w:t>
            </w:r>
          </w:p>
        </w:tc>
      </w:tr>
      <w:tr w:rsidR="000A22E2" w:rsidRPr="0036361A" w:rsidTr="00CD4504">
        <w:tc>
          <w:tcPr>
            <w:tcW w:w="648" w:type="dxa"/>
            <w:vAlign w:val="center"/>
          </w:tcPr>
          <w:p w:rsidR="000A22E2" w:rsidRPr="0036361A" w:rsidRDefault="000A22E2" w:rsidP="00CD4504">
            <w:pPr>
              <w:jc w:val="center"/>
              <w:rPr>
                <w:b/>
                <w:bCs/>
              </w:rPr>
            </w:pPr>
            <w:r w:rsidRPr="0036361A">
              <w:rPr>
                <w:b/>
                <w:bCs/>
              </w:rPr>
              <w:t>1</w:t>
            </w:r>
          </w:p>
        </w:tc>
        <w:tc>
          <w:tcPr>
            <w:tcW w:w="8640" w:type="dxa"/>
            <w:vAlign w:val="center"/>
          </w:tcPr>
          <w:p w:rsidR="000A22E2" w:rsidRPr="0036361A" w:rsidRDefault="000A22E2" w:rsidP="00CD4504">
            <w:pPr>
              <w:jc w:val="both"/>
              <w:rPr>
                <w:b/>
                <w:bCs/>
              </w:rPr>
            </w:pPr>
            <w:r w:rsidRPr="0036361A">
              <w:rPr>
                <w:b/>
                <w:bCs/>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0A22E2" w:rsidRPr="0036361A" w:rsidTr="00CD4504">
        <w:tc>
          <w:tcPr>
            <w:tcW w:w="648" w:type="dxa"/>
            <w:vAlign w:val="center"/>
          </w:tcPr>
          <w:p w:rsidR="000A22E2" w:rsidRPr="0036361A" w:rsidRDefault="000A22E2" w:rsidP="00CD4504">
            <w:pPr>
              <w:jc w:val="center"/>
              <w:rPr>
                <w:b/>
                <w:bCs/>
              </w:rPr>
            </w:pPr>
            <w:r w:rsidRPr="0036361A">
              <w:rPr>
                <w:b/>
                <w:bCs/>
              </w:rPr>
              <w:t>2</w:t>
            </w:r>
          </w:p>
        </w:tc>
        <w:tc>
          <w:tcPr>
            <w:tcW w:w="8640" w:type="dxa"/>
            <w:vAlign w:val="center"/>
          </w:tcPr>
          <w:p w:rsidR="000A22E2" w:rsidRPr="0036361A" w:rsidRDefault="000A22E2" w:rsidP="00CD4504">
            <w:pPr>
              <w:jc w:val="both"/>
              <w:rPr>
                <w:b/>
                <w:bCs/>
              </w:rPr>
            </w:pPr>
            <w:r w:rsidRPr="0036361A">
              <w:rPr>
                <w:b/>
                <w:bCs/>
              </w:rPr>
              <w:t>Mai mult de un autoturism/motocicletă cu o vechime mai mare de 10 ani</w:t>
            </w:r>
          </w:p>
        </w:tc>
      </w:tr>
      <w:tr w:rsidR="000A22E2" w:rsidRPr="0036361A" w:rsidTr="00CD4504">
        <w:tc>
          <w:tcPr>
            <w:tcW w:w="648" w:type="dxa"/>
            <w:vAlign w:val="center"/>
          </w:tcPr>
          <w:p w:rsidR="000A22E2" w:rsidRPr="0036361A" w:rsidRDefault="000A22E2" w:rsidP="00CD4504">
            <w:pPr>
              <w:jc w:val="center"/>
              <w:rPr>
                <w:b/>
                <w:bCs/>
              </w:rPr>
            </w:pPr>
            <w:r w:rsidRPr="0036361A">
              <w:rPr>
                <w:b/>
                <w:bCs/>
              </w:rPr>
              <w:t>3</w:t>
            </w:r>
          </w:p>
        </w:tc>
        <w:tc>
          <w:tcPr>
            <w:tcW w:w="8640" w:type="dxa"/>
            <w:vAlign w:val="center"/>
          </w:tcPr>
          <w:p w:rsidR="000A22E2" w:rsidRPr="0036361A" w:rsidRDefault="000A22E2" w:rsidP="00CD4504">
            <w:r w:rsidRPr="0036361A">
              <w:rPr>
                <w:b/>
                <w:bCs/>
              </w:rPr>
              <w:t>Autovehicule: autoutilitare, autocamioane de orice fel cu sau fără remorci, rulote, autobuze, microbuze</w:t>
            </w:r>
          </w:p>
        </w:tc>
      </w:tr>
      <w:tr w:rsidR="000A22E2" w:rsidRPr="0036361A" w:rsidTr="00CD4504">
        <w:tc>
          <w:tcPr>
            <w:tcW w:w="648" w:type="dxa"/>
            <w:vAlign w:val="center"/>
          </w:tcPr>
          <w:p w:rsidR="000A22E2" w:rsidRPr="0036361A" w:rsidRDefault="000A22E2" w:rsidP="00CD4504">
            <w:pPr>
              <w:jc w:val="center"/>
              <w:rPr>
                <w:b/>
                <w:bCs/>
              </w:rPr>
            </w:pPr>
            <w:r w:rsidRPr="0036361A">
              <w:rPr>
                <w:b/>
                <w:bCs/>
              </w:rPr>
              <w:t>4</w:t>
            </w:r>
          </w:p>
        </w:tc>
        <w:tc>
          <w:tcPr>
            <w:tcW w:w="8640" w:type="dxa"/>
            <w:vAlign w:val="center"/>
          </w:tcPr>
          <w:p w:rsidR="000A22E2" w:rsidRPr="0036361A" w:rsidRDefault="000A22E2" w:rsidP="00CD4504">
            <w:r w:rsidRPr="0036361A">
              <w:rPr>
                <w:b/>
                <w:bCs/>
              </w:rPr>
              <w:t>Şalupe, bărci cu motor, scutere de apă, iahturi, cu excepţia bărcilor necesare pentru uzul persoanelor care locuiesc în Rezervaţia Biosferei ”Delta Dunării”</w:t>
            </w:r>
          </w:p>
        </w:tc>
      </w:tr>
      <w:tr w:rsidR="000A22E2" w:rsidRPr="0036361A" w:rsidTr="00CD4504">
        <w:tc>
          <w:tcPr>
            <w:tcW w:w="648" w:type="dxa"/>
            <w:vAlign w:val="center"/>
          </w:tcPr>
          <w:p w:rsidR="000A22E2" w:rsidRPr="0036361A" w:rsidRDefault="000A22E2" w:rsidP="00CD4504">
            <w:pPr>
              <w:jc w:val="center"/>
              <w:rPr>
                <w:b/>
                <w:bCs/>
              </w:rPr>
            </w:pPr>
            <w:r w:rsidRPr="0036361A">
              <w:rPr>
                <w:b/>
                <w:bCs/>
              </w:rPr>
              <w:t>5</w:t>
            </w:r>
          </w:p>
        </w:tc>
        <w:tc>
          <w:tcPr>
            <w:tcW w:w="8640" w:type="dxa"/>
            <w:vAlign w:val="center"/>
          </w:tcPr>
          <w:p w:rsidR="000A22E2" w:rsidRPr="0036361A" w:rsidRDefault="000A22E2" w:rsidP="00CD4504">
            <w:r w:rsidRPr="0036361A">
              <w:rPr>
                <w:b/>
                <w:bCs/>
              </w:rPr>
              <w:t>Utilaje agricole: tractor, combină autopropulsată</w:t>
            </w:r>
          </w:p>
        </w:tc>
      </w:tr>
      <w:tr w:rsidR="000A22E2" w:rsidRPr="0036361A" w:rsidTr="00CD4504">
        <w:tc>
          <w:tcPr>
            <w:tcW w:w="648" w:type="dxa"/>
            <w:vAlign w:val="center"/>
          </w:tcPr>
          <w:p w:rsidR="000A22E2" w:rsidRPr="0036361A" w:rsidRDefault="000A22E2" w:rsidP="00CD4504">
            <w:pPr>
              <w:jc w:val="center"/>
              <w:rPr>
                <w:b/>
                <w:bCs/>
              </w:rPr>
            </w:pPr>
            <w:r w:rsidRPr="0036361A">
              <w:rPr>
                <w:b/>
                <w:bCs/>
              </w:rPr>
              <w:t>6</w:t>
            </w:r>
          </w:p>
        </w:tc>
        <w:tc>
          <w:tcPr>
            <w:tcW w:w="8640" w:type="dxa"/>
            <w:vAlign w:val="center"/>
          </w:tcPr>
          <w:p w:rsidR="000A22E2" w:rsidRPr="0036361A" w:rsidRDefault="000A22E2" w:rsidP="00CD4504">
            <w:r w:rsidRPr="0036361A">
              <w:rPr>
                <w:b/>
                <w:bCs/>
              </w:rPr>
              <w:t>Utilaje de prelucrare agricolă: presă de ulei, moară de cereale</w:t>
            </w:r>
          </w:p>
        </w:tc>
      </w:tr>
      <w:tr w:rsidR="000A22E2" w:rsidRPr="0036361A" w:rsidTr="00CD4504">
        <w:tc>
          <w:tcPr>
            <w:tcW w:w="648" w:type="dxa"/>
            <w:vAlign w:val="center"/>
          </w:tcPr>
          <w:p w:rsidR="000A22E2" w:rsidRPr="0036361A" w:rsidRDefault="000A22E2" w:rsidP="00CD4504">
            <w:pPr>
              <w:jc w:val="center"/>
              <w:rPr>
                <w:b/>
                <w:bCs/>
              </w:rPr>
            </w:pPr>
            <w:r w:rsidRPr="0036361A">
              <w:rPr>
                <w:b/>
                <w:bCs/>
              </w:rPr>
              <w:t>7</w:t>
            </w:r>
          </w:p>
        </w:tc>
        <w:tc>
          <w:tcPr>
            <w:tcW w:w="8640" w:type="dxa"/>
            <w:vAlign w:val="center"/>
          </w:tcPr>
          <w:p w:rsidR="000A22E2" w:rsidRPr="0036361A" w:rsidRDefault="000A22E2" w:rsidP="00CD4504">
            <w:r w:rsidRPr="0036361A">
              <w:rPr>
                <w:b/>
                <w:bCs/>
              </w:rPr>
              <w:t>Utilaje de prelucrat lemnul: gater sau alte utilaje de prelucrat lemnul acţionate hidraulic, mecanic sau electric</w:t>
            </w:r>
          </w:p>
        </w:tc>
      </w:tr>
      <w:tr w:rsidR="000A22E2" w:rsidRPr="0036361A" w:rsidTr="00CD4504">
        <w:tc>
          <w:tcPr>
            <w:tcW w:w="9288" w:type="dxa"/>
            <w:gridSpan w:val="2"/>
            <w:vAlign w:val="center"/>
          </w:tcPr>
          <w:p w:rsidR="000A22E2" w:rsidRPr="0036361A" w:rsidRDefault="000A22E2" w:rsidP="00CD4504">
            <w:r w:rsidRPr="0036361A">
              <w:rPr>
                <w:b/>
                <w:bCs/>
              </w:rPr>
              <w:t>(*)Aflate în stare de funcţionare</w:t>
            </w:r>
          </w:p>
        </w:tc>
      </w:tr>
    </w:tbl>
    <w:p w:rsidR="000A22E2" w:rsidRDefault="000A22E2" w:rsidP="00224405">
      <w:pPr>
        <w:autoSpaceDE w:val="0"/>
        <w:autoSpaceDN w:val="0"/>
        <w:adjustRightInd w:val="0"/>
      </w:pPr>
    </w:p>
    <w:p w:rsidR="000A22E2" w:rsidRDefault="000A22E2" w:rsidP="0022440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A22E2" w:rsidRPr="0036361A" w:rsidTr="00CD4504">
        <w:tc>
          <w:tcPr>
            <w:tcW w:w="9288" w:type="dxa"/>
            <w:gridSpan w:val="2"/>
            <w:vAlign w:val="center"/>
          </w:tcPr>
          <w:p w:rsidR="000A22E2" w:rsidRPr="0036361A" w:rsidRDefault="000A22E2" w:rsidP="00CD4504">
            <w:pPr>
              <w:rPr>
                <w:b/>
                <w:bCs/>
                <w:u w:val="single"/>
              </w:rPr>
            </w:pPr>
            <w:r w:rsidRPr="0036361A">
              <w:rPr>
                <w:b/>
                <w:bCs/>
                <w:u w:val="single"/>
              </w:rPr>
              <w:t>Depozite bancare</w:t>
            </w:r>
          </w:p>
        </w:tc>
      </w:tr>
      <w:tr w:rsidR="000A22E2" w:rsidRPr="0036361A" w:rsidTr="00CD4504">
        <w:tc>
          <w:tcPr>
            <w:tcW w:w="648" w:type="dxa"/>
            <w:vAlign w:val="center"/>
          </w:tcPr>
          <w:p w:rsidR="000A22E2" w:rsidRPr="0036361A" w:rsidRDefault="000A22E2" w:rsidP="00CD4504">
            <w:r w:rsidRPr="0036361A">
              <w:rPr>
                <w:b/>
                <w:bCs/>
              </w:rPr>
              <w:t xml:space="preserve">   1         </w:t>
            </w:r>
          </w:p>
        </w:tc>
        <w:tc>
          <w:tcPr>
            <w:tcW w:w="8640" w:type="dxa"/>
            <w:vAlign w:val="center"/>
          </w:tcPr>
          <w:p w:rsidR="000A22E2" w:rsidRPr="0036361A" w:rsidRDefault="000A22E2" w:rsidP="00CD4504">
            <w:r w:rsidRPr="0036361A">
              <w:rPr>
                <w:b/>
                <w:bCs/>
              </w:rPr>
              <w:t>Depozite bancare cu valoare de peste 3000 lei</w:t>
            </w:r>
          </w:p>
        </w:tc>
      </w:tr>
    </w:tbl>
    <w:p w:rsidR="000A22E2" w:rsidRPr="000D56B6" w:rsidRDefault="000A22E2" w:rsidP="0022440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0A22E2" w:rsidRPr="0036361A" w:rsidTr="00CD4504">
        <w:tc>
          <w:tcPr>
            <w:tcW w:w="9288" w:type="dxa"/>
            <w:gridSpan w:val="2"/>
            <w:vAlign w:val="center"/>
          </w:tcPr>
          <w:p w:rsidR="000A22E2" w:rsidRPr="0036361A" w:rsidRDefault="000A22E2" w:rsidP="00CD4504">
            <w:pPr>
              <w:rPr>
                <w:b/>
                <w:bCs/>
                <w:u w:val="single"/>
              </w:rPr>
            </w:pPr>
            <w:r w:rsidRPr="0036361A">
              <w:rPr>
                <w:b/>
                <w:bCs/>
                <w:u w:val="single"/>
              </w:rPr>
              <w:t>Terenuri /animale și/sau păsări</w:t>
            </w:r>
          </w:p>
        </w:tc>
      </w:tr>
      <w:tr w:rsidR="000A22E2" w:rsidRPr="0036361A" w:rsidTr="00CD4504">
        <w:tc>
          <w:tcPr>
            <w:tcW w:w="648" w:type="dxa"/>
            <w:vAlign w:val="center"/>
          </w:tcPr>
          <w:p w:rsidR="000A22E2" w:rsidRPr="0036361A" w:rsidRDefault="000A22E2" w:rsidP="00CD4504">
            <w:r w:rsidRPr="0036361A">
              <w:rPr>
                <w:b/>
                <w:bCs/>
              </w:rPr>
              <w:t xml:space="preserve">   1         </w:t>
            </w:r>
          </w:p>
        </w:tc>
        <w:tc>
          <w:tcPr>
            <w:tcW w:w="8640" w:type="dxa"/>
            <w:vAlign w:val="center"/>
          </w:tcPr>
          <w:p w:rsidR="000A22E2" w:rsidRPr="0036361A" w:rsidRDefault="000A22E2" w:rsidP="00CD4504">
            <w:pPr>
              <w:autoSpaceDE w:val="0"/>
              <w:autoSpaceDN w:val="0"/>
              <w:adjustRightInd w:val="0"/>
              <w:jc w:val="both"/>
              <w:rPr>
                <w:b/>
              </w:rPr>
            </w:pPr>
            <w:r w:rsidRPr="0036361A">
              <w:rPr>
                <w:b/>
                <w:iCs/>
              </w:rPr>
              <w:t>Suprafețe de teren, animale și păsări a căror valoare netă de producție anuală depășește suma de 1.000 euro pentru persoana singură, respectiv suma de 2.500 euro pentru familie</w:t>
            </w:r>
          </w:p>
        </w:tc>
      </w:tr>
    </w:tbl>
    <w:p w:rsidR="000A22E2" w:rsidRPr="000D56B6" w:rsidRDefault="000A22E2" w:rsidP="00224405">
      <w:pPr>
        <w:autoSpaceDE w:val="0"/>
        <w:autoSpaceDN w:val="0"/>
        <w:adjustRightInd w:val="0"/>
      </w:pPr>
    </w:p>
    <w:p w:rsidR="000A22E2" w:rsidRPr="000D56B6" w:rsidRDefault="000A22E2" w:rsidP="00224405">
      <w:pPr>
        <w:autoSpaceDE w:val="0"/>
        <w:autoSpaceDN w:val="0"/>
        <w:adjustRightInd w:val="0"/>
      </w:pPr>
    </w:p>
    <w:p w:rsidR="000A22E2" w:rsidRDefault="000A22E2" w:rsidP="00224405">
      <w:pPr>
        <w:autoSpaceDE w:val="0"/>
        <w:autoSpaceDN w:val="0"/>
        <w:adjustRightInd w:val="0"/>
        <w:rPr>
          <w:b/>
        </w:rPr>
      </w:pPr>
      <w:r w:rsidRPr="000D56B6">
        <w:rPr>
          <w:b/>
        </w:rPr>
        <w:t>NOTĂ:Deţinerea unuia dintre bunurile menţionate conduce la excluderea acordării ajutorului social.</w:t>
      </w:r>
    </w:p>
    <w:p w:rsidR="000A22E2" w:rsidRPr="000D56B6" w:rsidRDefault="000A22E2" w:rsidP="00224405">
      <w:pPr>
        <w:autoSpaceDE w:val="0"/>
        <w:autoSpaceDN w:val="0"/>
        <w:adjustRightInd w:val="0"/>
        <w:jc w:val="both"/>
        <w:rPr>
          <w:b/>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p w:rsidR="000A22E2" w:rsidRDefault="000A22E2" w:rsidP="00A634A2">
      <w:pPr>
        <w:shd w:val="clear" w:color="auto" w:fill="FFFFFF"/>
        <w:spacing w:after="0" w:line="240" w:lineRule="auto"/>
        <w:jc w:val="both"/>
        <w:textAlignment w:val="baseline"/>
        <w:rPr>
          <w:rFonts w:ascii="Arial" w:hAnsi="Arial" w:cs="Arial"/>
          <w:color w:val="444545"/>
          <w:sz w:val="21"/>
          <w:szCs w:val="21"/>
        </w:rPr>
      </w:pPr>
    </w:p>
    <w:sectPr w:rsidR="000A22E2" w:rsidSect="00216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2D9"/>
    <w:multiLevelType w:val="multilevel"/>
    <w:tmpl w:val="06064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A25E46"/>
    <w:multiLevelType w:val="multilevel"/>
    <w:tmpl w:val="DBC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241DE"/>
    <w:multiLevelType w:val="multilevel"/>
    <w:tmpl w:val="51C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9A0525"/>
    <w:multiLevelType w:val="multilevel"/>
    <w:tmpl w:val="2D381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FB41281"/>
    <w:multiLevelType w:val="multilevel"/>
    <w:tmpl w:val="1C4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82010"/>
    <w:multiLevelType w:val="multilevel"/>
    <w:tmpl w:val="6D2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3A53C1"/>
    <w:multiLevelType w:val="multilevel"/>
    <w:tmpl w:val="9A54065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8232B95"/>
    <w:multiLevelType w:val="multilevel"/>
    <w:tmpl w:val="4A643A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89E"/>
    <w:rsid w:val="000A22E2"/>
    <w:rsid w:val="000D56B6"/>
    <w:rsid w:val="001957F0"/>
    <w:rsid w:val="002166FA"/>
    <w:rsid w:val="00224405"/>
    <w:rsid w:val="0036361A"/>
    <w:rsid w:val="0040417E"/>
    <w:rsid w:val="0047489E"/>
    <w:rsid w:val="006601B9"/>
    <w:rsid w:val="00712CCA"/>
    <w:rsid w:val="00775EF2"/>
    <w:rsid w:val="00A634A2"/>
    <w:rsid w:val="00C80271"/>
    <w:rsid w:val="00CB36B8"/>
    <w:rsid w:val="00CB603E"/>
    <w:rsid w:val="00CD4504"/>
    <w:rsid w:val="00F37C18"/>
    <w:rsid w:val="00F54E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FA"/>
    <w:pPr>
      <w:spacing w:after="200" w:line="276" w:lineRule="auto"/>
    </w:pPr>
  </w:style>
  <w:style w:type="paragraph" w:styleId="Heading1">
    <w:name w:val="heading 1"/>
    <w:basedOn w:val="Normal"/>
    <w:link w:val="Heading1Char"/>
    <w:uiPriority w:val="99"/>
    <w:qFormat/>
    <w:rsid w:val="0047489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47489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89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7489E"/>
    <w:rPr>
      <w:rFonts w:ascii="Cambria" w:hAnsi="Cambria" w:cs="Times New Roman"/>
      <w:b/>
      <w:bCs/>
      <w:color w:val="4F81BD"/>
      <w:sz w:val="26"/>
      <w:szCs w:val="26"/>
    </w:rPr>
  </w:style>
  <w:style w:type="paragraph" w:styleId="NormalWeb">
    <w:name w:val="Normal (Web)"/>
    <w:basedOn w:val="Normal"/>
    <w:uiPriority w:val="99"/>
    <w:semiHidden/>
    <w:rsid w:val="0047489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7489E"/>
    <w:rPr>
      <w:rFonts w:cs="Times New Roman"/>
      <w:b/>
      <w:bCs/>
    </w:rPr>
  </w:style>
  <w:style w:type="character" w:styleId="Emphasis">
    <w:name w:val="Emphasis"/>
    <w:basedOn w:val="DefaultParagraphFont"/>
    <w:uiPriority w:val="99"/>
    <w:qFormat/>
    <w:rsid w:val="0047489E"/>
    <w:rPr>
      <w:rFonts w:cs="Times New Roman"/>
      <w:i/>
      <w:iCs/>
    </w:rPr>
  </w:style>
</w:styles>
</file>

<file path=word/webSettings.xml><?xml version="1.0" encoding="utf-8"?>
<w:webSettings xmlns:r="http://schemas.openxmlformats.org/officeDocument/2006/relationships" xmlns:w="http://schemas.openxmlformats.org/wordprocessingml/2006/main">
  <w:divs>
    <w:div w:id="1510372238">
      <w:marLeft w:val="0"/>
      <w:marRight w:val="0"/>
      <w:marTop w:val="0"/>
      <w:marBottom w:val="0"/>
      <w:divBdr>
        <w:top w:val="none" w:sz="0" w:space="0" w:color="auto"/>
        <w:left w:val="none" w:sz="0" w:space="0" w:color="auto"/>
        <w:bottom w:val="none" w:sz="0" w:space="0" w:color="auto"/>
        <w:right w:val="none" w:sz="0" w:space="0" w:color="auto"/>
      </w:divBdr>
    </w:div>
    <w:div w:id="1510372239">
      <w:marLeft w:val="0"/>
      <w:marRight w:val="0"/>
      <w:marTop w:val="0"/>
      <w:marBottom w:val="0"/>
      <w:divBdr>
        <w:top w:val="none" w:sz="0" w:space="0" w:color="auto"/>
        <w:left w:val="none" w:sz="0" w:space="0" w:color="auto"/>
        <w:bottom w:val="none" w:sz="0" w:space="0" w:color="auto"/>
        <w:right w:val="none" w:sz="0" w:space="0" w:color="auto"/>
      </w:divBdr>
    </w:div>
    <w:div w:id="1510372240">
      <w:marLeft w:val="0"/>
      <w:marRight w:val="0"/>
      <w:marTop w:val="0"/>
      <w:marBottom w:val="0"/>
      <w:divBdr>
        <w:top w:val="none" w:sz="0" w:space="0" w:color="auto"/>
        <w:left w:val="none" w:sz="0" w:space="0" w:color="auto"/>
        <w:bottom w:val="none" w:sz="0" w:space="0" w:color="auto"/>
        <w:right w:val="none" w:sz="0" w:space="0" w:color="auto"/>
      </w:divBdr>
    </w:div>
    <w:div w:id="1510372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2016</Words>
  <Characters>11496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Prezentare</dc:title>
  <dc:subject/>
  <dc:creator>Desktop</dc:creator>
  <cp:keywords/>
  <dc:description/>
  <cp:lastModifiedBy>eXPerience</cp:lastModifiedBy>
  <cp:revision>2</cp:revision>
  <dcterms:created xsi:type="dcterms:W3CDTF">2019-11-19T06:39:00Z</dcterms:created>
  <dcterms:modified xsi:type="dcterms:W3CDTF">2019-11-19T06:39:00Z</dcterms:modified>
</cp:coreProperties>
</file>